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Актуально на 24.10.2024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ВЕРХОВНЫЙ СУД ОБОБЩИЛ ПРАКТИКУ ПО ЗАЩИТЕ ПРАВ ПОТРЕБИТЕЛЕЙ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Можно ли взыскать разницу в цене, если из-за отказа продавца пришлось купить более дорогой товар? Надо ли везти неисправный телефон для осмотра продавцом в другой город? Чем ограничен размер неустойки по договору купли-продажи товара? Ответы на эти и другие вопросы в обзоре.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Если продавец не передал оплаченный товар, потребитель может взыскать разницу в цене по замещающей сделке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Потребитель оплатил смартфон, но не получил его. Деньги ему вернули. Из-за этого аналогичное устройство он приобрел у другого продавца по более высокой цене.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Верховный суд подтвердил, что разница в цене между заказанным смартфоном и приобретенным аналогом - это убытки потребителя. Они возникли из-за одностороннего отказа продавца. Поэтому последний должен их компенсировать.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Потребитель не обязан везти неисправный товар для проверки качества в другой город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Продавец указал, что для проверки неисправного телефона его нужно передать в офис компании, который находится в другом городе. Потребитель отказался это сделать.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 xml:space="preserve">Верховный суд занял позицию последнего. Если товар оплатили и получили в одном городе, то отказ потребителя </w:t>
      </w:r>
      <w:proofErr w:type="gramStart"/>
      <w:r w:rsidRPr="00FB4145">
        <w:rPr>
          <w:sz w:val="20"/>
          <w:szCs w:val="20"/>
        </w:rPr>
        <w:t>передать его на осмотр</w:t>
      </w:r>
      <w:proofErr w:type="gramEnd"/>
      <w:r w:rsidRPr="00FB4145">
        <w:rPr>
          <w:sz w:val="20"/>
          <w:szCs w:val="20"/>
        </w:rPr>
        <w:t xml:space="preserve"> в другом обоснован. То, что города находятся в пределах одного региона или телефон можно было отправить по почте, значения не имеет.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Цена перепродажи не имеет значения для расчета убытков при возврате некачественного товара</w:t>
      </w:r>
    </w:p>
    <w:p w:rsid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FB4145">
        <w:rPr>
          <w:sz w:val="20"/>
          <w:szCs w:val="20"/>
        </w:rPr>
        <w:t>После покупки автомобиля у импортера его перепродали по цене в 5 раз ниже исходной стоимости. Последний покупатель в течение гарантийного срока обнаружил существенные недостатки. Он решил вернуть автомобиль импортеру и взыскать убытки, ориентируясь на исходную цену автомобиля.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Первая инстанция поддержала потребителя. Апелляция значительно уменьшила сумму: размер убытков определяют исходя из цены того договора, по которому его приобрел истец, а не по цене первичной продажи.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 xml:space="preserve">Верховный суд отметил, что за основу нужно брать цену по первичному договору. Цена в </w:t>
      </w:r>
      <w:proofErr w:type="gramStart"/>
      <w:r w:rsidRPr="00FB4145">
        <w:rPr>
          <w:sz w:val="20"/>
          <w:szCs w:val="20"/>
        </w:rPr>
        <w:t>последующих</w:t>
      </w:r>
      <w:proofErr w:type="gramEnd"/>
      <w:r w:rsidRPr="00FB4145">
        <w:rPr>
          <w:sz w:val="20"/>
          <w:szCs w:val="20"/>
        </w:rPr>
        <w:t xml:space="preserve"> формируется по иным принципам и может не отражать реальную стоимость.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Ограничение неустойки ценой договора не распространяется на куплю-продажу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Потребитель взыскал убытки за неисправный автомобиль и неустойку в размере большем, чем сумма основных требований. Апелляция применила норму о снижении неустойки до суммы по договору.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Верховный суд не согласился с таким подходом и напомнил: ограничение касается только выполнения работ и оказания услуг.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Размер убытков, которые можно взыскать с гражданина из-за расторжения договора о подключении к коммуникациям, ограничен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Гражданин не выполнил условия для подключения жилого дома к газоснабжению. Договор о подключении расторгли. Исполнитель решил взыскать фактически понесенные расходы, которые в 8 раз превышали размер платы за технологическое присоединение. Разница была обусловлена тем, что размер платы был установлен нормативно и не включал расходы на строительство сетей.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Верховный суд подчеркнул: если бы гражданин исполнил свои обязательства, исполнитель получил бы только предусмотренную договором плату. При неисполнении обязательств убытки ограничены ее размером.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Иные правовые позиции, которые вошли в обзор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 xml:space="preserve">Банк не может вводить новые комиссии по </w:t>
      </w:r>
      <w:proofErr w:type="spellStart"/>
      <w:r w:rsidRPr="00FB4145">
        <w:rPr>
          <w:sz w:val="20"/>
          <w:szCs w:val="20"/>
        </w:rPr>
        <w:t>потребкредиту</w:t>
      </w:r>
      <w:proofErr w:type="spellEnd"/>
      <w:r w:rsidRPr="00FB4145">
        <w:rPr>
          <w:sz w:val="20"/>
          <w:szCs w:val="20"/>
        </w:rPr>
        <w:t xml:space="preserve"> или увеличивать размер уже </w:t>
      </w:r>
      <w:proofErr w:type="gramStart"/>
      <w:r w:rsidRPr="00FB4145">
        <w:rPr>
          <w:sz w:val="20"/>
          <w:szCs w:val="20"/>
        </w:rPr>
        <w:t>установленных</w:t>
      </w:r>
      <w:proofErr w:type="gramEnd"/>
      <w:r w:rsidRPr="00FB4145">
        <w:rPr>
          <w:sz w:val="20"/>
          <w:szCs w:val="20"/>
        </w:rPr>
        <w:t>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Наследники вкладчика могут взыскать с банка компенсацию морального вреда и штраф, если последний неправомерно отказал в выдаче денег. То, что наследники не были сторонами договора банковского вклада, значения не имеет.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Если нарушили договор добровольного страхования имущества, потребитель может взыскать и неустойку, и проценты по ст. 395 ГК РФ.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Напомним, что подобные обзоры практики ВС РФ готовит ежегодно. См. обзоры, опубликованные в 2023, 2022, 2021 годах.</w:t>
      </w:r>
    </w:p>
    <w:p w:rsidR="00FB4145" w:rsidRPr="00FB4145" w:rsidRDefault="00FB4145" w:rsidP="00FB4145">
      <w:pPr>
        <w:spacing w:after="0" w:line="240" w:lineRule="auto"/>
        <w:rPr>
          <w:sz w:val="20"/>
          <w:szCs w:val="20"/>
        </w:rPr>
      </w:pPr>
    </w:p>
    <w:p w:rsidR="000B2447" w:rsidRPr="00FB4145" w:rsidRDefault="00FB4145" w:rsidP="00FB4145">
      <w:pPr>
        <w:spacing w:after="0" w:line="240" w:lineRule="auto"/>
        <w:rPr>
          <w:sz w:val="20"/>
          <w:szCs w:val="20"/>
        </w:rPr>
      </w:pPr>
      <w:r w:rsidRPr="00FB4145">
        <w:rPr>
          <w:sz w:val="20"/>
          <w:szCs w:val="20"/>
        </w:rPr>
        <w:t>Документ: Обзор судебной практики по делам о защите прав потребителей (утв. Президиумом Верховного Суда РФ 23.10.2024)</w:t>
      </w:r>
    </w:p>
    <w:sectPr w:rsidR="000B2447" w:rsidRPr="00FB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F"/>
    <w:rsid w:val="000B2447"/>
    <w:rsid w:val="004A55EF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2024-12-02T09:18:00Z</dcterms:created>
  <dcterms:modified xsi:type="dcterms:W3CDTF">2024-12-02T09:19:00Z</dcterms:modified>
</cp:coreProperties>
</file>