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157" w:rsidRDefault="00C14C81" w:rsidP="00352157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</w:t>
      </w:r>
      <w:bookmarkStart w:id="0" w:name="_GoBack"/>
      <w:bookmarkEnd w:id="0"/>
      <w:r w:rsidR="00352157">
        <w:rPr>
          <w:rFonts w:ascii="Arial" w:hAnsi="Arial" w:cs="Arial"/>
          <w:sz w:val="20"/>
          <w:szCs w:val="20"/>
        </w:rPr>
        <w:t>ЕТОДИКА</w:t>
      </w:r>
    </w:p>
    <w:p w:rsidR="0069521A" w:rsidRPr="0069521A" w:rsidRDefault="00352157" w:rsidP="0069521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расчета органами местного самоуправления муниципальных</w:t>
      </w:r>
    </w:p>
    <w:p w:rsidR="00352157" w:rsidRDefault="00352157" w:rsidP="0069521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районов Омской области размера дотаций бюджетам поселений,</w:t>
      </w:r>
    </w:p>
    <w:p w:rsidR="00352157" w:rsidRDefault="00352157" w:rsidP="00352157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входящих в состав муниципальных районов Омской области,</w:t>
      </w:r>
    </w:p>
    <w:p w:rsidR="00352157" w:rsidRDefault="00352157" w:rsidP="00352157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выравнивание бюджетной обеспеченности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= Ф1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+ Ф2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>,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- общий объем дотаций, выделяемый i-му поселению;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Ф1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- объем дотаций, выделяемый i-му поселению на первом этапе;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Ф2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- объем дотаций, выделяемый i-му поселению на втором этапе;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На первом этапе объем дотаций распределяется между i-ми поселениями исходя из численности постоянного населения поселений и определяется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Ф1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= Ф1 x Н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/ Н,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Ф1 - объем дотаций, распределяемый на первом этапе;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- численность постоянного населения i-го поселения;</w:t>
      </w:r>
    </w:p>
    <w:p w:rsidR="00352157" w:rsidRPr="00352157" w:rsidRDefault="00352157" w:rsidP="00352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352157">
        <w:rPr>
          <w:rFonts w:ascii="Arial" w:hAnsi="Arial" w:cs="Arial"/>
          <w:sz w:val="20"/>
          <w:szCs w:val="20"/>
        </w:rPr>
        <w:t xml:space="preserve">       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52157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>Н - численность постоянного населения поселений.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Численность постоянного населения i-го поселения (поселений) определяется на основании статистических данных по состоянию на 1 января текущего года.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Объем дотаций, распределяемый на первом этапе, определяется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Ф1 = Ф x С1,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 - общий объем дотаций;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С1 -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P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position w:val="-25"/>
          <w:sz w:val="20"/>
          <w:szCs w:val="20"/>
          <w:lang w:eastAsia="ru-RU"/>
        </w:rPr>
        <w:drawing>
          <wp:inline distT="0" distB="0" distL="0" distR="0" wp14:anchorId="4BC631A6" wp14:editId="0D6B8ECA">
            <wp:extent cx="1552575" cy="4476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Ф2</w:t>
      </w:r>
      <w:r>
        <w:rPr>
          <w:rFonts w:ascii="Arial" w:hAnsi="Arial" w:cs="Arial"/>
          <w:sz w:val="20"/>
          <w:szCs w:val="20"/>
          <w:vertAlign w:val="subscript"/>
        </w:rPr>
        <w:t>t</w:t>
      </w:r>
      <w:r>
        <w:rPr>
          <w:rFonts w:ascii="Arial" w:hAnsi="Arial" w:cs="Arial"/>
          <w:sz w:val="20"/>
          <w:szCs w:val="20"/>
        </w:rP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>it</w:t>
      </w:r>
      <w:r>
        <w:rPr>
          <w:rFonts w:ascii="Arial" w:hAnsi="Arial" w:cs="Arial"/>
          <w:sz w:val="20"/>
          <w:szCs w:val="20"/>
        </w:rP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>t</w:t>
      </w:r>
      <w:r>
        <w:rPr>
          <w:rFonts w:ascii="Arial" w:hAnsi="Arial" w:cs="Arial"/>
          <w:sz w:val="20"/>
          <w:szCs w:val="20"/>
        </w:rP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Ф2</w:t>
      </w:r>
      <w:r>
        <w:rPr>
          <w:rFonts w:ascii="Arial" w:hAnsi="Arial" w:cs="Arial"/>
          <w:sz w:val="20"/>
          <w:szCs w:val="20"/>
          <w:vertAlign w:val="subscript"/>
        </w:rPr>
        <w:t>t</w:t>
      </w:r>
      <w:r>
        <w:rPr>
          <w:rFonts w:ascii="Arial" w:hAnsi="Arial" w:cs="Arial"/>
          <w:sz w:val="20"/>
          <w:szCs w:val="20"/>
        </w:rPr>
        <w:t xml:space="preserve"> = Ф2 - Ф2</w:t>
      </w:r>
      <w:r>
        <w:rPr>
          <w:rFonts w:ascii="Arial" w:hAnsi="Arial" w:cs="Arial"/>
          <w:sz w:val="20"/>
          <w:szCs w:val="20"/>
          <w:vertAlign w:val="subscript"/>
        </w:rPr>
        <w:t>(t-1)</w:t>
      </w:r>
      <w:r>
        <w:rPr>
          <w:rFonts w:ascii="Arial" w:hAnsi="Arial" w:cs="Arial"/>
          <w:sz w:val="20"/>
          <w:szCs w:val="20"/>
        </w:rPr>
        <w:t>,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Ф2 - объем дотаций, распределяемый на втором этапе;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Ф2</w:t>
      </w:r>
      <w:r>
        <w:rPr>
          <w:rFonts w:ascii="Arial" w:hAnsi="Arial" w:cs="Arial"/>
          <w:sz w:val="20"/>
          <w:szCs w:val="20"/>
          <w:vertAlign w:val="subscript"/>
        </w:rPr>
        <w:t>(t-1)</w:t>
      </w:r>
      <w:r>
        <w:rPr>
          <w:rFonts w:ascii="Arial" w:hAnsi="Arial" w:cs="Arial"/>
          <w:sz w:val="20"/>
          <w:szCs w:val="20"/>
        </w:rP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Объем дотаций, распределяемый на втором этапе, определяется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Ф2 = Ф x С2,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 С2 -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  <w:vertAlign w:val="subscript"/>
        </w:rPr>
        <w:t>it</w:t>
      </w:r>
      <w:r>
        <w:rPr>
          <w:rFonts w:ascii="Arial" w:hAnsi="Arial" w:cs="Arial"/>
          <w:sz w:val="20"/>
          <w:szCs w:val="20"/>
        </w:rPr>
        <w:t xml:space="preserve"> = Н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x КРП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x ((НП + Ф1 + Ф2</w:t>
      </w:r>
      <w:r>
        <w:rPr>
          <w:rFonts w:ascii="Arial" w:hAnsi="Arial" w:cs="Arial"/>
          <w:sz w:val="20"/>
          <w:szCs w:val="20"/>
          <w:vertAlign w:val="subscript"/>
        </w:rPr>
        <w:t>(t-1)</w:t>
      </w:r>
      <w:r>
        <w:rPr>
          <w:rFonts w:ascii="Arial" w:hAnsi="Arial" w:cs="Arial"/>
          <w:sz w:val="20"/>
          <w:szCs w:val="20"/>
        </w:rPr>
        <w:t>) / Н) x K</w:t>
      </w:r>
      <w:r>
        <w:rPr>
          <w:rFonts w:ascii="Arial" w:hAnsi="Arial" w:cs="Arial"/>
          <w:sz w:val="20"/>
          <w:szCs w:val="20"/>
          <w:vertAlign w:val="subscript"/>
        </w:rPr>
        <w:t>it</w:t>
      </w:r>
      <w:r>
        <w:rPr>
          <w:rFonts w:ascii="Arial" w:hAnsi="Arial" w:cs="Arial"/>
          <w:sz w:val="20"/>
          <w:szCs w:val="20"/>
          <w:vertAlign w:val="superscript"/>
        </w:rPr>
        <w:t>СО</w:t>
      </w:r>
      <w:r>
        <w:rPr>
          <w:rFonts w:ascii="Arial" w:hAnsi="Arial" w:cs="Arial"/>
          <w:sz w:val="20"/>
          <w:szCs w:val="20"/>
        </w:rPr>
        <w:t>,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КРП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- поправочный коэффициент расходных потребностей i-го поселения;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НП - налоговый потенциал по всем поселениям муниципального района;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295275" cy="2381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- уровень сокращения отставания расчетной бюджетной обеспеченности i-го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1133475" cy="2381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К</w:t>
      </w:r>
      <w:r>
        <w:rPr>
          <w:rFonts w:ascii="Arial" w:hAnsi="Arial" w:cs="Arial"/>
          <w:sz w:val="20"/>
          <w:szCs w:val="20"/>
          <w:vertAlign w:val="subscript"/>
        </w:rPr>
        <w:t>t</w:t>
      </w:r>
      <w:r>
        <w:rPr>
          <w:rFonts w:ascii="Arial" w:hAnsi="Arial" w:cs="Arial"/>
          <w:sz w:val="20"/>
          <w:szCs w:val="20"/>
        </w:rP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БО</w:t>
      </w:r>
      <w:r>
        <w:rPr>
          <w:rFonts w:ascii="Arial" w:hAnsi="Arial" w:cs="Arial"/>
          <w:sz w:val="20"/>
          <w:szCs w:val="20"/>
          <w:vertAlign w:val="subscript"/>
        </w:rPr>
        <w:t>it</w:t>
      </w:r>
      <w:r>
        <w:rPr>
          <w:rFonts w:ascii="Arial" w:hAnsi="Arial" w:cs="Arial"/>
          <w:sz w:val="20"/>
          <w:szCs w:val="20"/>
        </w:rPr>
        <w:t xml:space="preserve"> - уровень расчетной бюджетной обеспеченности i-го поселения до распределения дотаций на t-ом этапе выравнивания расчетной бюджетной обеспеченности поселений.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952625" cy="4857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 - общее количество поселений;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 - количество поселений, по которым БО</w:t>
      </w:r>
      <w:r>
        <w:rPr>
          <w:rFonts w:ascii="Arial" w:hAnsi="Arial" w:cs="Arial"/>
          <w:sz w:val="20"/>
          <w:szCs w:val="20"/>
          <w:vertAlign w:val="subscript"/>
        </w:rPr>
        <w:t>it</w:t>
      </w:r>
      <w:r>
        <w:rPr>
          <w:rFonts w:ascii="Arial" w:hAnsi="Arial" w:cs="Arial"/>
          <w:sz w:val="20"/>
          <w:szCs w:val="20"/>
        </w:rPr>
        <w:t xml:space="preserve"> &gt;= 1.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Уровень расчетной бюджетной обеспеченности i-го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7"/>
          <w:sz w:val="20"/>
          <w:szCs w:val="20"/>
          <w:lang w:eastAsia="ru-RU"/>
        </w:rPr>
        <w:drawing>
          <wp:inline distT="0" distB="0" distL="0" distR="0">
            <wp:extent cx="3733800" cy="4762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Pr="0069521A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НП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- налоговый потенциал i-го поселения;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Омской области от </w:t>
      </w:r>
      <w:r w:rsidRPr="00352157">
        <w:rPr>
          <w:rFonts w:ascii="Arial" w:hAnsi="Arial" w:cs="Arial"/>
          <w:sz w:val="20"/>
          <w:szCs w:val="20"/>
        </w:rPr>
        <w:t>28</w:t>
      </w:r>
      <w:r>
        <w:rPr>
          <w:rFonts w:ascii="Arial" w:hAnsi="Arial" w:cs="Arial"/>
          <w:sz w:val="20"/>
          <w:szCs w:val="20"/>
        </w:rPr>
        <w:t>.</w:t>
      </w:r>
      <w:r w:rsidRPr="00194E19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.20</w:t>
      </w:r>
      <w:r w:rsidRPr="00194E19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N </w:t>
      </w:r>
      <w:r w:rsidRPr="00194E19">
        <w:rPr>
          <w:rFonts w:ascii="Arial" w:hAnsi="Arial" w:cs="Arial"/>
          <w:sz w:val="20"/>
          <w:szCs w:val="20"/>
        </w:rPr>
        <w:t>2311</w:t>
      </w:r>
      <w:r>
        <w:rPr>
          <w:rFonts w:ascii="Arial" w:hAnsi="Arial" w:cs="Arial"/>
          <w:sz w:val="20"/>
          <w:szCs w:val="20"/>
        </w:rPr>
        <w:t>-ОЗ)</w:t>
      </w:r>
    </w:p>
    <w:p w:rsidR="00352157" w:rsidRDefault="00194E19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</w:t>
      </w:r>
      <w:r w:rsidR="00352157">
        <w:rPr>
          <w:rFonts w:ascii="Arial" w:hAnsi="Arial" w:cs="Arial"/>
          <w:sz w:val="20"/>
          <w:szCs w:val="20"/>
        </w:rPr>
        <w:t>2</w:t>
      </w:r>
      <w:r w:rsidR="00352157">
        <w:rPr>
          <w:rFonts w:ascii="Arial" w:hAnsi="Arial" w:cs="Arial"/>
          <w:sz w:val="20"/>
          <w:szCs w:val="20"/>
          <w:vertAlign w:val="subscript"/>
        </w:rPr>
        <w:t>i(t-1)</w:t>
      </w:r>
      <w:r w:rsidR="00352157">
        <w:rPr>
          <w:rFonts w:ascii="Arial" w:hAnsi="Arial" w:cs="Arial"/>
          <w:sz w:val="20"/>
          <w:szCs w:val="20"/>
        </w:rPr>
        <w:t xml:space="preserve"> - объем дотаций, распределенный i-му поселению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расчетной бюджетной обеспеченности поселений;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Налоговый потенциал i-го поселения на очередной финансовый год и на каждый год планового периода рассчитывается в порядке, установленном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статьей 11</w:t>
        </w:r>
      </w:hyperlink>
      <w:r>
        <w:rPr>
          <w:rFonts w:ascii="Arial" w:hAnsi="Arial" w:cs="Arial"/>
          <w:sz w:val="20"/>
          <w:szCs w:val="20"/>
        </w:rPr>
        <w:t xml:space="preserve"> Закона Омской области от 27 июля 2007 года N 947-ОЗ "О межбюджетных отношениях в Омской области".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планирования бюджетных ассигнований бюджета муниципального района Омской области.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При утверждении бюджета муниципального района Омской области часть дотаций может заменяться дополнительными нормативами отчислений от налога на доходы физических лиц в бюджеты поселений в соответствии с бюджетным законодательством, которые рассчитываются по следующей методике: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= 100% х Фк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/ НДФЛ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>,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i-го поселения;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Фк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- общий расчетный объем средств дотаций для i-го поселения;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НДФЛ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i-му поселению.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990600" cy="228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2286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- объем дотации i-му поселению, сохраняемый после замены дотации дополнительными нормативами отчислений от налога на доходы физических лиц;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304800" cy="228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- объем дотации, замененный дополнительным нормативом отчислений от налога на доходы физических лиц по i-му поселению.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F0580" w:rsidRDefault="001F0580"/>
    <w:sectPr w:rsidR="001F0580" w:rsidSect="00D82C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157"/>
    <w:rsid w:val="00194E19"/>
    <w:rsid w:val="001F0580"/>
    <w:rsid w:val="00352157"/>
    <w:rsid w:val="0069521A"/>
    <w:rsid w:val="00C1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1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1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6.w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52446E33BF433E451BD6308EEB53503FBBDFC1F97A2002246CB157FFBB4E3FD6200DF8C7294FAA1FC9B59F754AA67B8718A8E8F18E87848F727C71FFT734J" TargetMode="Externa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2446E33BF433E451BD6308EEB53503FBBDFC1F97E200C2660B80AF5B31733D42702A7D02E06A61EC9B4997046F97E9209F0E4F0909884906E7E73TF3FJ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User223</dc:creator>
  <cp:lastModifiedBy>User223</cp:lastModifiedBy>
  <cp:revision>3</cp:revision>
  <cp:lastPrinted>2022-11-11T04:27:00Z</cp:lastPrinted>
  <dcterms:created xsi:type="dcterms:W3CDTF">2022-11-10T09:55:00Z</dcterms:created>
  <dcterms:modified xsi:type="dcterms:W3CDTF">2023-11-08T03:03:00Z</dcterms:modified>
</cp:coreProperties>
</file>